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6A" w:rsidRDefault="009C2C6A" w:rsidP="009C2C6A">
      <w:bookmarkStart w:id="0" w:name="_GoBack"/>
      <w:r>
        <w:t xml:space="preserve">Changes the </w:t>
      </w:r>
      <w:r>
        <w:t>Special Effect Pyrotechnics in the Explosives Regulations,</w:t>
      </w:r>
      <w:r>
        <w:t xml:space="preserve"> 2013</w:t>
      </w:r>
    </w:p>
    <w:bookmarkEnd w:id="0"/>
    <w:p w:rsidR="009C2C6A" w:rsidRDefault="009C2C6A" w:rsidP="009C2C6A">
      <w:r>
        <w:t> </w:t>
      </w:r>
    </w:p>
    <w:p w:rsidR="009C2C6A" w:rsidRDefault="009C2C6A" w:rsidP="009C2C6A">
      <w:r>
        <w:t xml:space="preserve">Part 17 </w:t>
      </w:r>
    </w:p>
    <w:p w:rsidR="009C2C6A" w:rsidRDefault="009C2C6A" w:rsidP="009C2C6A">
      <w:r>
        <w:t>  </w:t>
      </w:r>
    </w:p>
    <w:p w:rsidR="009C2C6A" w:rsidRDefault="009C2C6A" w:rsidP="009C2C6A">
      <w:pPr>
        <w:pStyle w:val="subsection"/>
        <w:spacing w:before="0"/>
        <w:ind w:left="360" w:hanging="360"/>
      </w:pPr>
      <w:r>
        <w:rPr>
          <w:b/>
          <w:bCs/>
        </w:rPr>
        <w:t>1.</w:t>
      </w:r>
      <w:r>
        <w:rPr>
          <w:b/>
          <w:bCs/>
          <w:sz w:val="14"/>
          <w:szCs w:val="14"/>
        </w:rPr>
        <w:t xml:space="preserve">      </w:t>
      </w:r>
      <w:r>
        <w:rPr>
          <w:rFonts w:ascii="Calibri" w:hAnsi="Calibri" w:cs="Calibri"/>
          <w:sz w:val="22"/>
          <w:szCs w:val="22"/>
          <w:lang w:val="en"/>
        </w:rPr>
        <w:t>The regulations concerning the 5 kg quantity limits and specific details for storing at the “site of use” have been removed except the requirement to locate the storage unit in an area that is not accessible to the public.  </w:t>
      </w:r>
    </w:p>
    <w:tbl>
      <w:tblPr>
        <w:tblW w:w="0" w:type="auto"/>
        <w:tblCellMar>
          <w:left w:w="0" w:type="dxa"/>
          <w:right w:w="0" w:type="dxa"/>
        </w:tblCellMar>
        <w:tblLook w:val="04A0" w:firstRow="1" w:lastRow="0" w:firstColumn="1" w:lastColumn="0" w:noHBand="0" w:noVBand="1"/>
      </w:tblPr>
      <w:tblGrid>
        <w:gridCol w:w="9350"/>
      </w:tblGrid>
      <w:tr w:rsidR="009C2C6A" w:rsidTr="009C2C6A">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C6A" w:rsidRDefault="009C2C6A">
            <w:pPr>
              <w:pStyle w:val="subsection"/>
              <w:spacing w:before="0"/>
              <w:ind w:hanging="360"/>
            </w:pPr>
            <w:r>
              <w:rPr>
                <w:rFonts w:ascii="Symbol" w:hAnsi="Symbol"/>
                <w:sz w:val="20"/>
                <w:szCs w:val="20"/>
              </w:rPr>
              <w:t></w:t>
            </w:r>
            <w:r>
              <w:rPr>
                <w:sz w:val="14"/>
                <w:szCs w:val="14"/>
              </w:rPr>
              <w:t xml:space="preserve">         </w:t>
            </w:r>
            <w:r>
              <w:rPr>
                <w:rStyle w:val="sectionlabel"/>
                <w:b w:val="0"/>
                <w:bCs w:val="0"/>
              </w:rPr>
              <w:t> </w:t>
            </w:r>
          </w:p>
          <w:p w:rsidR="009C2C6A" w:rsidRDefault="009C2C6A">
            <w:pPr>
              <w:pStyle w:val="subsection"/>
              <w:spacing w:before="0"/>
              <w:ind w:hanging="360"/>
            </w:pPr>
            <w:r>
              <w:rPr>
                <w:rFonts w:ascii="Symbol" w:hAnsi="Symbol"/>
                <w:sz w:val="20"/>
                <w:szCs w:val="20"/>
              </w:rPr>
              <w:t></w:t>
            </w:r>
            <w:r>
              <w:rPr>
                <w:sz w:val="14"/>
                <w:szCs w:val="14"/>
              </w:rPr>
              <w:t xml:space="preserve">         </w:t>
            </w:r>
            <w:r>
              <w:rPr>
                <w:rStyle w:val="sectionlabel"/>
                <w:rFonts w:ascii="Calibri" w:hAnsi="Calibri" w:cs="Calibri"/>
                <w:sz w:val="22"/>
                <w:szCs w:val="22"/>
                <w:lang w:val="en"/>
              </w:rPr>
              <w:t>398</w:t>
            </w:r>
            <w:r>
              <w:rPr>
                <w:rFonts w:ascii="Calibri" w:hAnsi="Calibri" w:cs="Calibri"/>
                <w:sz w:val="22"/>
                <w:szCs w:val="22"/>
                <w:lang w:val="en"/>
              </w:rPr>
              <w:t> </w:t>
            </w:r>
            <w:r>
              <w:rPr>
                <w:rStyle w:val="lawlabel2"/>
                <w:rFonts w:ascii="Calibri" w:hAnsi="Calibri" w:cs="Calibri"/>
                <w:sz w:val="22"/>
                <w:szCs w:val="22"/>
                <w:lang w:val="en"/>
              </w:rPr>
              <w:t>(1) and (2)</w:t>
            </w:r>
            <w:r>
              <w:rPr>
                <w:rFonts w:ascii="Calibri" w:hAnsi="Calibri" w:cs="Calibri"/>
                <w:sz w:val="22"/>
                <w:szCs w:val="22"/>
                <w:lang w:val="en"/>
              </w:rPr>
              <w:t> </w:t>
            </w:r>
            <w:r>
              <w:rPr>
                <w:rStyle w:val="repealed1"/>
                <w:rFonts w:ascii="Calibri" w:hAnsi="Calibri" w:cs="Calibri"/>
                <w:sz w:val="22"/>
                <w:szCs w:val="22"/>
                <w:lang w:val="en"/>
              </w:rPr>
              <w:t>[Repealed, SOR/2018-231, s. 36]</w:t>
            </w:r>
          </w:p>
          <w:p w:rsidR="009C2C6A" w:rsidRDefault="009C2C6A">
            <w:pPr>
              <w:pStyle w:val="marginalnote"/>
              <w:ind w:hanging="360"/>
            </w:pPr>
            <w:r>
              <w:rPr>
                <w:rFonts w:ascii="Symbol" w:hAnsi="Symbol"/>
                <w:b w:val="0"/>
                <w:bCs w:val="0"/>
                <w:sz w:val="20"/>
                <w:szCs w:val="20"/>
              </w:rPr>
              <w:t></w:t>
            </w:r>
            <w:r>
              <w:rPr>
                <w:b w:val="0"/>
                <w:bCs w:val="0"/>
                <w:sz w:val="14"/>
                <w:szCs w:val="14"/>
              </w:rPr>
              <w:t xml:space="preserve">         </w:t>
            </w:r>
            <w:r>
              <w:rPr>
                <w:rFonts w:ascii="Calibri" w:hAnsi="Calibri" w:cs="Calibri"/>
                <w:lang w:val="en"/>
              </w:rPr>
              <w:t>Storage — site of use</w:t>
            </w:r>
          </w:p>
          <w:p w:rsidR="009C2C6A" w:rsidRDefault="009C2C6A">
            <w:pPr>
              <w:pStyle w:val="subsection"/>
            </w:pPr>
            <w:r>
              <w:rPr>
                <w:rStyle w:val="lawlabel2"/>
                <w:rFonts w:ascii="Calibri" w:hAnsi="Calibri" w:cs="Calibri"/>
                <w:sz w:val="22"/>
                <w:szCs w:val="22"/>
                <w:lang w:val="en"/>
              </w:rPr>
              <w:t>398 (3)</w:t>
            </w:r>
            <w:r>
              <w:rPr>
                <w:rFonts w:ascii="Calibri" w:hAnsi="Calibri" w:cs="Calibri"/>
                <w:sz w:val="22"/>
                <w:szCs w:val="22"/>
                <w:lang w:val="en"/>
              </w:rPr>
              <w:t> Any storage unit at the site of use must be located in an area that is not accessible to the public.</w:t>
            </w:r>
          </w:p>
          <w:p w:rsidR="009C2C6A" w:rsidRDefault="009C2C6A">
            <w:pPr>
              <w:pStyle w:val="marginalnote"/>
            </w:pPr>
            <w:hyperlink r:id="rId5" w:anchor="docCont" w:history="1">
              <w:r>
                <w:rPr>
                  <w:rStyle w:val="Hyperlink"/>
                  <w:rFonts w:ascii="Calibri" w:hAnsi="Calibri" w:cs="Calibri"/>
                  <w:b w:val="0"/>
                  <w:bCs w:val="0"/>
                  <w:lang w:val="en"/>
                </w:rPr>
                <w:t>https://laws-lois.justice.gc.ca/eng/regulations/SOR-2013-211/page-47.html#docCont</w:t>
              </w:r>
            </w:hyperlink>
          </w:p>
          <w:p w:rsidR="009C2C6A" w:rsidRDefault="009C2C6A">
            <w:pPr>
              <w:pStyle w:val="marginalnote"/>
            </w:pPr>
            <w:r>
              <w:rPr>
                <w:rFonts w:ascii="Calibri" w:hAnsi="Calibri" w:cs="Calibri"/>
                <w:b w:val="0"/>
                <w:bCs w:val="0"/>
                <w:lang w:val="en"/>
              </w:rPr>
              <w:t> </w:t>
            </w:r>
          </w:p>
        </w:tc>
      </w:tr>
    </w:tbl>
    <w:p w:rsidR="009C2C6A" w:rsidRDefault="009C2C6A" w:rsidP="009C2C6A">
      <w:r>
        <w:t> </w:t>
      </w:r>
    </w:p>
    <w:p w:rsidR="009C2C6A" w:rsidRDefault="009C2C6A" w:rsidP="009C2C6A"/>
    <w:p w:rsidR="009C2C6A" w:rsidRDefault="009C2C6A" w:rsidP="009C2C6A">
      <w:r>
        <w:t xml:space="preserve">Please forward this email regarding changes to Part 18 </w:t>
      </w:r>
      <w:proofErr w:type="gramStart"/>
      <w:r>
        <w:t>-  Display</w:t>
      </w:r>
      <w:proofErr w:type="gramEnd"/>
      <w:r>
        <w:t xml:space="preserve"> Fireworks in the Explosives Regulations, 2013 to the members of the OMFPOA. </w:t>
      </w:r>
    </w:p>
    <w:p w:rsidR="009C2C6A" w:rsidRDefault="009C2C6A" w:rsidP="009C2C6A"/>
    <w:p w:rsidR="009C2C6A" w:rsidRDefault="009C2C6A" w:rsidP="009C2C6A">
      <w:pPr>
        <w:pStyle w:val="ListParagraph"/>
        <w:ind w:left="360" w:hanging="360"/>
        <w:rPr>
          <w:rFonts w:ascii="Calibri" w:hAnsi="Calibri" w:cs="Calibri"/>
          <w:sz w:val="22"/>
          <w:szCs w:val="22"/>
          <w:lang w:val="en-US"/>
        </w:rPr>
      </w:pPr>
      <w:r>
        <w:rPr>
          <w:rFonts w:ascii="Calibri" w:hAnsi="Calibri" w:cs="Calibri"/>
          <w:b/>
          <w:bCs/>
          <w:sz w:val="22"/>
          <w:szCs w:val="22"/>
          <w:lang w:val="en-US"/>
        </w:rPr>
        <w:t>1.</w:t>
      </w:r>
      <w:r>
        <w:rPr>
          <w:rFonts w:ascii="Times New Roman" w:hAnsi="Times New Roman"/>
          <w:b/>
          <w:bCs/>
          <w:sz w:val="14"/>
          <w:szCs w:val="14"/>
          <w:lang w:val="en-US"/>
        </w:rPr>
        <w:t xml:space="preserve">       </w:t>
      </w:r>
      <w:r>
        <w:rPr>
          <w:rFonts w:ascii="Calibri" w:hAnsi="Calibri" w:cs="Calibri"/>
          <w:sz w:val="22"/>
          <w:szCs w:val="22"/>
          <w:lang w:val="en-US"/>
        </w:rPr>
        <w:t xml:space="preserve">The storage limit for display fireworks has been changed from </w:t>
      </w:r>
      <w:r>
        <w:rPr>
          <w:rFonts w:ascii="Calibri" w:hAnsi="Calibri" w:cs="Calibri"/>
          <w:sz w:val="22"/>
          <w:szCs w:val="22"/>
          <w:u w:val="single"/>
          <w:lang w:val="en-US"/>
        </w:rPr>
        <w:t>125 kg gross weight</w:t>
      </w:r>
      <w:r>
        <w:rPr>
          <w:rFonts w:ascii="Calibri" w:hAnsi="Calibri" w:cs="Calibri"/>
          <w:sz w:val="22"/>
          <w:szCs w:val="22"/>
          <w:lang w:val="en-US"/>
        </w:rPr>
        <w:t xml:space="preserve"> to </w:t>
      </w:r>
      <w:r>
        <w:rPr>
          <w:rFonts w:ascii="Calibri" w:hAnsi="Calibri" w:cs="Calibri"/>
          <w:sz w:val="22"/>
          <w:szCs w:val="22"/>
          <w:u w:val="single"/>
          <w:lang w:val="en-US"/>
        </w:rPr>
        <w:t>100 kg net explosives quantity (NEQ)</w:t>
      </w:r>
      <w:r>
        <w:rPr>
          <w:rFonts w:ascii="Calibri" w:hAnsi="Calibri" w:cs="Calibri"/>
          <w:sz w:val="22"/>
          <w:szCs w:val="22"/>
          <w:lang w:val="en-US"/>
        </w:rPr>
        <w:t>.  </w:t>
      </w:r>
    </w:p>
    <w:p w:rsidR="009C2C6A" w:rsidRDefault="009C2C6A" w:rsidP="009C2C6A">
      <w:pPr>
        <w:pStyle w:val="ListParagraph"/>
        <w:ind w:left="360"/>
        <w:rPr>
          <w:rFonts w:ascii="Calibri" w:hAnsi="Calibri" w:cs="Calibri"/>
          <w:sz w:val="22"/>
          <w:szCs w:val="22"/>
          <w:lang w:val="en-US"/>
        </w:rPr>
      </w:pPr>
    </w:p>
    <w:tbl>
      <w:tblPr>
        <w:tblW w:w="0" w:type="auto"/>
        <w:tblCellMar>
          <w:left w:w="0" w:type="dxa"/>
          <w:right w:w="0" w:type="dxa"/>
        </w:tblCellMar>
        <w:tblLook w:val="04A0" w:firstRow="1" w:lastRow="0" w:firstColumn="1" w:lastColumn="0" w:noHBand="0" w:noVBand="1"/>
      </w:tblPr>
      <w:tblGrid>
        <w:gridCol w:w="9350"/>
      </w:tblGrid>
      <w:tr w:rsidR="009C2C6A" w:rsidTr="009C2C6A">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2C6A" w:rsidRDefault="009C2C6A">
            <w:pPr>
              <w:pStyle w:val="marginalnote"/>
              <w:rPr>
                <w:rFonts w:ascii="Calibri" w:hAnsi="Calibri" w:cs="Calibri"/>
                <w:b w:val="0"/>
                <w:bCs w:val="0"/>
                <w:i/>
                <w:iCs/>
                <w:lang w:val="en"/>
              </w:rPr>
            </w:pPr>
            <w:r>
              <w:rPr>
                <w:rFonts w:ascii="Calibri" w:hAnsi="Calibri" w:cs="Calibri"/>
                <w:b w:val="0"/>
                <w:bCs w:val="0"/>
                <w:i/>
                <w:iCs/>
                <w:lang w:val="en"/>
              </w:rPr>
              <w:t>Quantity of display fireworks</w:t>
            </w:r>
          </w:p>
          <w:p w:rsidR="009C2C6A" w:rsidRDefault="009C2C6A">
            <w:pPr>
              <w:pStyle w:val="section"/>
              <w:rPr>
                <w:rFonts w:ascii="Calibri" w:hAnsi="Calibri" w:cs="Calibri"/>
                <w:sz w:val="22"/>
                <w:szCs w:val="22"/>
                <w:lang w:val="en"/>
              </w:rPr>
            </w:pPr>
            <w:r>
              <w:rPr>
                <w:rStyle w:val="sectionlabel"/>
                <w:rFonts w:ascii="Calibri" w:hAnsi="Calibri" w:cs="Calibri"/>
                <w:sz w:val="22"/>
                <w:szCs w:val="22"/>
                <w:lang w:val="en"/>
              </w:rPr>
              <w:t>412</w:t>
            </w:r>
            <w:r>
              <w:rPr>
                <w:rFonts w:ascii="Calibri" w:hAnsi="Calibri" w:cs="Calibri"/>
                <w:sz w:val="22"/>
                <w:szCs w:val="22"/>
                <w:lang w:val="en"/>
              </w:rPr>
              <w:t xml:space="preserve"> A reference to a mass of display fireworks or their accessories in this Part is a reference to their </w:t>
            </w:r>
            <w:r>
              <w:rPr>
                <w:rFonts w:ascii="Calibri" w:hAnsi="Calibri" w:cs="Calibri"/>
                <w:sz w:val="22"/>
                <w:szCs w:val="22"/>
                <w:highlight w:val="yellow"/>
                <w:lang w:val="en"/>
              </w:rPr>
              <w:t>net quantity (the mass of the fireworks excluding the mass of any packaging or container)</w:t>
            </w:r>
            <w:r>
              <w:rPr>
                <w:rFonts w:ascii="Calibri" w:hAnsi="Calibri" w:cs="Calibri"/>
                <w:sz w:val="22"/>
                <w:szCs w:val="22"/>
                <w:lang w:val="en"/>
              </w:rPr>
              <w:t>.</w:t>
            </w:r>
          </w:p>
          <w:p w:rsidR="009C2C6A" w:rsidRDefault="009C2C6A">
            <w:pPr>
              <w:pStyle w:val="marginalnote"/>
              <w:rPr>
                <w:rFonts w:ascii="Calibri" w:hAnsi="Calibri" w:cs="Calibri"/>
                <w:b w:val="0"/>
                <w:bCs w:val="0"/>
                <w:i/>
                <w:iCs/>
                <w:lang w:val="en"/>
              </w:rPr>
            </w:pPr>
            <w:r>
              <w:rPr>
                <w:rFonts w:ascii="Calibri" w:hAnsi="Calibri" w:cs="Calibri"/>
                <w:b w:val="0"/>
                <w:bCs w:val="0"/>
                <w:i/>
                <w:iCs/>
                <w:lang w:val="en"/>
              </w:rPr>
              <w:t>Storage — display supervisor in charge</w:t>
            </w:r>
          </w:p>
          <w:p w:rsidR="009C2C6A" w:rsidRDefault="009C2C6A">
            <w:pPr>
              <w:pStyle w:val="section"/>
              <w:rPr>
                <w:rFonts w:ascii="Calibri" w:hAnsi="Calibri" w:cs="Calibri"/>
                <w:sz w:val="22"/>
                <w:szCs w:val="22"/>
                <w:lang w:val="en"/>
              </w:rPr>
            </w:pPr>
            <w:r>
              <w:rPr>
                <w:rStyle w:val="sectionlabel"/>
                <w:rFonts w:ascii="Calibri" w:hAnsi="Calibri" w:cs="Calibri"/>
                <w:sz w:val="22"/>
                <w:szCs w:val="22"/>
                <w:lang w:val="en"/>
              </w:rPr>
              <w:t>426</w:t>
            </w:r>
            <w:r>
              <w:rPr>
                <w:rFonts w:ascii="Calibri" w:hAnsi="Calibri" w:cs="Calibri"/>
                <w:sz w:val="22"/>
                <w:szCs w:val="22"/>
                <w:lang w:val="en"/>
              </w:rPr>
              <w:t xml:space="preserve"> A user who is the display supervisor in charge of a display, whether or not they hold a </w:t>
            </w:r>
            <w:proofErr w:type="spellStart"/>
            <w:r>
              <w:rPr>
                <w:rFonts w:ascii="Calibri" w:hAnsi="Calibri" w:cs="Calibri"/>
                <w:sz w:val="22"/>
                <w:szCs w:val="22"/>
                <w:lang w:val="en"/>
              </w:rPr>
              <w:t>licence</w:t>
            </w:r>
            <w:proofErr w:type="spellEnd"/>
            <w:r>
              <w:rPr>
                <w:rFonts w:ascii="Calibri" w:hAnsi="Calibri" w:cs="Calibri"/>
                <w:sz w:val="22"/>
                <w:szCs w:val="22"/>
                <w:lang w:val="en"/>
              </w:rPr>
              <w:t xml:space="preserve">, may store the fireworks to be used in a display –– to a maximum of 500 electric matches and </w:t>
            </w:r>
            <w:r>
              <w:rPr>
                <w:rFonts w:ascii="Calibri" w:hAnsi="Calibri" w:cs="Calibri"/>
                <w:sz w:val="22"/>
                <w:szCs w:val="22"/>
                <w:highlight w:val="yellow"/>
                <w:lang w:val="en"/>
              </w:rPr>
              <w:t>100 kg</w:t>
            </w:r>
            <w:r>
              <w:rPr>
                <w:rFonts w:ascii="Calibri" w:hAnsi="Calibri" w:cs="Calibri"/>
                <w:sz w:val="22"/>
                <w:szCs w:val="22"/>
                <w:lang w:val="en"/>
              </w:rPr>
              <w:t xml:space="preserve"> of other fireworks — in a storage unit if they obtain the written approval of the local authority to do so. The user must ensure that the requirements in section 427 are met.</w:t>
            </w:r>
          </w:p>
          <w:p w:rsidR="009C2C6A" w:rsidRDefault="009C2C6A">
            <w:hyperlink r:id="rId6" w:anchor="h-162" w:history="1">
              <w:r>
                <w:rPr>
                  <w:rStyle w:val="Hyperlink"/>
                </w:rPr>
                <w:t>https://laws-lois.justice.gc.ca/eng/regulations/SOR-2013-211/page-50.html#h-162</w:t>
              </w:r>
            </w:hyperlink>
          </w:p>
          <w:p w:rsidR="009C2C6A" w:rsidRDefault="009C2C6A">
            <w:pPr>
              <w:rPr>
                <w:lang w:val="en"/>
              </w:rPr>
            </w:pPr>
          </w:p>
        </w:tc>
      </w:tr>
    </w:tbl>
    <w:p w:rsidR="009C2C6A" w:rsidRDefault="009C2C6A" w:rsidP="009C2C6A">
      <w:pPr>
        <w:pStyle w:val="section"/>
        <w:rPr>
          <w:rFonts w:ascii="Calibri" w:hAnsi="Calibri" w:cs="Calibri"/>
          <w:sz w:val="22"/>
          <w:szCs w:val="22"/>
          <w:lang w:val="en"/>
        </w:rPr>
      </w:pPr>
    </w:p>
    <w:p w:rsidR="009C2C6A" w:rsidRDefault="009C2C6A" w:rsidP="009C2C6A">
      <w:pPr>
        <w:pStyle w:val="ListParagraph"/>
        <w:ind w:left="360" w:hanging="360"/>
        <w:rPr>
          <w:rFonts w:ascii="Calibri" w:hAnsi="Calibri" w:cs="Calibri"/>
          <w:sz w:val="22"/>
          <w:szCs w:val="22"/>
          <w:lang w:val="en-US"/>
        </w:rPr>
      </w:pPr>
      <w:r>
        <w:rPr>
          <w:rFonts w:ascii="Calibri" w:hAnsi="Calibri" w:cs="Calibri"/>
          <w:b/>
          <w:bCs/>
          <w:sz w:val="22"/>
          <w:szCs w:val="22"/>
          <w:lang w:val="en-US"/>
        </w:rPr>
        <w:t>2.</w:t>
      </w:r>
      <w:r>
        <w:rPr>
          <w:rFonts w:ascii="Times New Roman" w:hAnsi="Times New Roman"/>
          <w:b/>
          <w:bCs/>
          <w:sz w:val="14"/>
          <w:szCs w:val="14"/>
          <w:lang w:val="en-US"/>
        </w:rPr>
        <w:t xml:space="preserve">       </w:t>
      </w:r>
      <w:r>
        <w:rPr>
          <w:rStyle w:val="sectionlabel"/>
          <w:rFonts w:ascii="Calibri" w:hAnsi="Calibri" w:cs="Calibri"/>
          <w:b w:val="0"/>
          <w:bCs w:val="0"/>
          <w:sz w:val="22"/>
          <w:szCs w:val="22"/>
          <w:lang w:val="en"/>
        </w:rPr>
        <w:t xml:space="preserve">The written plan that is submitted to the local authority for approval must include the type of fireworks to be used and the </w:t>
      </w:r>
      <w:r>
        <w:rPr>
          <w:rFonts w:ascii="Calibri" w:hAnsi="Calibri" w:cs="Calibri"/>
          <w:sz w:val="22"/>
          <w:szCs w:val="22"/>
          <w:lang w:val="en"/>
        </w:rPr>
        <w:t xml:space="preserve">diameter in millimeters of the largest aerial shell to be used or, if no aerial shells are to be used, the maximum height the fireworks will reach during the display.  The product name of each </w:t>
      </w:r>
      <w:proofErr w:type="gramStart"/>
      <w:r>
        <w:rPr>
          <w:rFonts w:ascii="Calibri" w:hAnsi="Calibri" w:cs="Calibri"/>
          <w:sz w:val="22"/>
          <w:szCs w:val="22"/>
          <w:lang w:val="en"/>
        </w:rPr>
        <w:t>fireworks</w:t>
      </w:r>
      <w:proofErr w:type="gramEnd"/>
      <w:r>
        <w:rPr>
          <w:rFonts w:ascii="Calibri" w:hAnsi="Calibri" w:cs="Calibri"/>
          <w:sz w:val="22"/>
          <w:szCs w:val="22"/>
          <w:lang w:val="en"/>
        </w:rPr>
        <w:t xml:space="preserve"> to be used and the name of the person who obtained its </w:t>
      </w:r>
      <w:r>
        <w:rPr>
          <w:rFonts w:ascii="Calibri" w:hAnsi="Calibri" w:cs="Calibri"/>
          <w:sz w:val="22"/>
          <w:szCs w:val="22"/>
          <w:lang w:val="en"/>
        </w:rPr>
        <w:lastRenderedPageBreak/>
        <w:t>authorization is no longer required.  </w:t>
      </w:r>
      <w:r>
        <w:rPr>
          <w:rFonts w:ascii="Calibri" w:hAnsi="Calibri" w:cs="Calibri"/>
          <w:sz w:val="22"/>
          <w:szCs w:val="22"/>
          <w:u w:val="single"/>
          <w:lang w:val="en"/>
        </w:rPr>
        <w:t>Please note that these are minimum requirements</w:t>
      </w:r>
      <w:r>
        <w:rPr>
          <w:rFonts w:ascii="Calibri" w:hAnsi="Calibri" w:cs="Calibri"/>
          <w:sz w:val="22"/>
          <w:szCs w:val="22"/>
          <w:lang w:val="en"/>
        </w:rPr>
        <w:t xml:space="preserve">. The local authority may ask for more specific information. </w:t>
      </w:r>
    </w:p>
    <w:p w:rsidR="009C2C6A" w:rsidRDefault="009C2C6A" w:rsidP="009C2C6A">
      <w:pPr>
        <w:pStyle w:val="ListParagraph"/>
        <w:ind w:left="360"/>
        <w:rPr>
          <w:rStyle w:val="sectionlabel"/>
          <w:b w:val="0"/>
          <w:bCs w:val="0"/>
          <w:color w:val="auto"/>
        </w:rPr>
      </w:pPr>
    </w:p>
    <w:tbl>
      <w:tblPr>
        <w:tblW w:w="0" w:type="auto"/>
        <w:tblCellMar>
          <w:left w:w="0" w:type="dxa"/>
          <w:right w:w="0" w:type="dxa"/>
        </w:tblCellMar>
        <w:tblLook w:val="04A0" w:firstRow="1" w:lastRow="0" w:firstColumn="1" w:lastColumn="0" w:noHBand="0" w:noVBand="1"/>
      </w:tblPr>
      <w:tblGrid>
        <w:gridCol w:w="9350"/>
      </w:tblGrid>
      <w:tr w:rsidR="009C2C6A" w:rsidTr="009C2C6A">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2C6A" w:rsidRDefault="009C2C6A">
            <w:pPr>
              <w:pStyle w:val="marginalnote"/>
              <w:rPr>
                <w:b w:val="0"/>
                <w:bCs w:val="0"/>
                <w:i/>
                <w:iCs/>
                <w:lang w:val="en"/>
              </w:rPr>
            </w:pPr>
            <w:r>
              <w:rPr>
                <w:rFonts w:ascii="Calibri" w:hAnsi="Calibri" w:cs="Calibri"/>
                <w:b w:val="0"/>
                <w:bCs w:val="0"/>
                <w:i/>
                <w:iCs/>
                <w:lang w:val="en"/>
              </w:rPr>
              <w:t xml:space="preserve">Plan </w:t>
            </w:r>
          </w:p>
          <w:p w:rsidR="009C2C6A" w:rsidRDefault="009C2C6A">
            <w:pPr>
              <w:pStyle w:val="subsection"/>
              <w:rPr>
                <w:rFonts w:ascii="Calibri" w:hAnsi="Calibri" w:cs="Calibri"/>
                <w:sz w:val="22"/>
                <w:szCs w:val="22"/>
                <w:lang w:val="en"/>
              </w:rPr>
            </w:pPr>
            <w:r>
              <w:rPr>
                <w:rStyle w:val="sectionlabel"/>
                <w:rFonts w:ascii="Calibri" w:hAnsi="Calibri" w:cs="Calibri"/>
                <w:sz w:val="22"/>
                <w:szCs w:val="22"/>
                <w:lang w:val="en"/>
              </w:rPr>
              <w:t>432</w:t>
            </w:r>
            <w:r>
              <w:rPr>
                <w:rFonts w:ascii="Calibri" w:hAnsi="Calibri" w:cs="Calibri"/>
                <w:sz w:val="22"/>
                <w:szCs w:val="22"/>
                <w:lang w:val="en"/>
              </w:rPr>
              <w:t> </w:t>
            </w:r>
            <w:r>
              <w:rPr>
                <w:rStyle w:val="lawlabel2"/>
                <w:rFonts w:ascii="Calibri" w:hAnsi="Calibri" w:cs="Calibri"/>
                <w:sz w:val="22"/>
                <w:szCs w:val="22"/>
                <w:lang w:val="en"/>
              </w:rPr>
              <w:t>(1)</w:t>
            </w:r>
            <w:r>
              <w:rPr>
                <w:rFonts w:ascii="Calibri" w:hAnsi="Calibri" w:cs="Calibri"/>
                <w:sz w:val="22"/>
                <w:szCs w:val="22"/>
                <w:lang w:val="en"/>
              </w:rPr>
              <w:t> A fireworks display plan must be prepared in writing and kept for two years after the date of the display. The plan must include the following information:</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(a)</w:t>
            </w:r>
            <w:r>
              <w:rPr>
                <w:rFonts w:ascii="Calibri" w:hAnsi="Calibri" w:cs="Calibri"/>
                <w:sz w:val="22"/>
                <w:szCs w:val="22"/>
                <w:lang w:val="en"/>
              </w:rPr>
              <w:t> the name of the display supervisor in charge and the number and expiry date of their fireworks operator certificate;</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(b)</w:t>
            </w:r>
            <w:r>
              <w:rPr>
                <w:rFonts w:ascii="Calibri" w:hAnsi="Calibri" w:cs="Calibri"/>
                <w:sz w:val="22"/>
                <w:szCs w:val="22"/>
                <w:lang w:val="en"/>
              </w:rPr>
              <w:t> the location of any storage units in which the fireworks to be displayed will be stored before or after the display;</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(c)</w:t>
            </w:r>
            <w:r>
              <w:rPr>
                <w:rFonts w:ascii="Calibri" w:hAnsi="Calibri" w:cs="Calibri"/>
                <w:sz w:val="22"/>
                <w:szCs w:val="22"/>
                <w:lang w:val="en"/>
              </w:rPr>
              <w:t xml:space="preserve"> a description of the display site, including the distance in </w:t>
            </w:r>
            <w:proofErr w:type="spellStart"/>
            <w:r>
              <w:rPr>
                <w:rFonts w:ascii="Calibri" w:hAnsi="Calibri" w:cs="Calibri"/>
                <w:sz w:val="22"/>
                <w:szCs w:val="22"/>
                <w:lang w:val="en"/>
              </w:rPr>
              <w:t>metres</w:t>
            </w:r>
            <w:proofErr w:type="spellEnd"/>
            <w:r>
              <w:rPr>
                <w:rFonts w:ascii="Calibri" w:hAnsi="Calibri" w:cs="Calibri"/>
                <w:sz w:val="22"/>
                <w:szCs w:val="22"/>
                <w:lang w:val="en"/>
              </w:rPr>
              <w:t xml:space="preserve"> from the firing site to the nearest spectators, buildings, structures and vulnerable sites;</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(d)</w:t>
            </w:r>
            <w:r>
              <w:rPr>
                <w:rFonts w:ascii="Calibri" w:hAnsi="Calibri" w:cs="Calibri"/>
                <w:sz w:val="22"/>
                <w:szCs w:val="22"/>
                <w:lang w:val="en"/>
              </w:rPr>
              <w:t> the type of fireworks to be used;</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w:t>
            </w:r>
            <w:r>
              <w:rPr>
                <w:rStyle w:val="lawlabel2"/>
                <w:rFonts w:ascii="Calibri" w:hAnsi="Calibri" w:cs="Calibri"/>
                <w:sz w:val="22"/>
                <w:szCs w:val="22"/>
                <w:highlight w:val="yellow"/>
                <w:lang w:val="en"/>
              </w:rPr>
              <w:t>d.1)</w:t>
            </w:r>
            <w:r>
              <w:rPr>
                <w:rFonts w:ascii="Calibri" w:hAnsi="Calibri" w:cs="Calibri"/>
                <w:sz w:val="22"/>
                <w:szCs w:val="22"/>
                <w:highlight w:val="yellow"/>
                <w:lang w:val="en"/>
              </w:rPr>
              <w:t xml:space="preserve"> the diameter in </w:t>
            </w:r>
            <w:proofErr w:type="spellStart"/>
            <w:r>
              <w:rPr>
                <w:rFonts w:ascii="Calibri" w:hAnsi="Calibri" w:cs="Calibri"/>
                <w:sz w:val="22"/>
                <w:szCs w:val="22"/>
                <w:highlight w:val="yellow"/>
                <w:lang w:val="en"/>
              </w:rPr>
              <w:t>millimetres</w:t>
            </w:r>
            <w:proofErr w:type="spellEnd"/>
            <w:r>
              <w:rPr>
                <w:rFonts w:ascii="Calibri" w:hAnsi="Calibri" w:cs="Calibri"/>
                <w:sz w:val="22"/>
                <w:szCs w:val="22"/>
                <w:highlight w:val="yellow"/>
                <w:lang w:val="en"/>
              </w:rPr>
              <w:t xml:space="preserve"> of the largest aerial shell to be used or, if no aerial shells are to be used, the maximum height the fireworks will reach during the display;</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(e)</w:t>
            </w:r>
            <w:r>
              <w:rPr>
                <w:rFonts w:ascii="Calibri" w:hAnsi="Calibri" w:cs="Calibri"/>
                <w:sz w:val="22"/>
                <w:szCs w:val="22"/>
                <w:lang w:val="en"/>
              </w:rPr>
              <w:t> the quantity of fireworks to be used;</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(f)</w:t>
            </w:r>
            <w:r>
              <w:rPr>
                <w:rFonts w:ascii="Calibri" w:hAnsi="Calibri" w:cs="Calibri"/>
                <w:sz w:val="22"/>
                <w:szCs w:val="22"/>
                <w:lang w:val="en"/>
              </w:rPr>
              <w:t> a description of how the fireworks will be positioned within the firing site and how they will be fired;</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(g)</w:t>
            </w:r>
            <w:r>
              <w:rPr>
                <w:rFonts w:ascii="Calibri" w:hAnsi="Calibri" w:cs="Calibri"/>
                <w:sz w:val="22"/>
                <w:szCs w:val="22"/>
                <w:lang w:val="en"/>
              </w:rPr>
              <w:t> a description of the crowd-control measures that will be taken; and</w:t>
            </w:r>
          </w:p>
          <w:p w:rsidR="009C2C6A" w:rsidRDefault="009C2C6A">
            <w:pPr>
              <w:pStyle w:val="paragraph"/>
              <w:rPr>
                <w:rFonts w:ascii="Calibri" w:hAnsi="Calibri" w:cs="Calibri"/>
                <w:sz w:val="22"/>
                <w:szCs w:val="22"/>
                <w:lang w:val="en"/>
              </w:rPr>
            </w:pPr>
            <w:r>
              <w:rPr>
                <w:rStyle w:val="lawlabel2"/>
                <w:rFonts w:ascii="Calibri" w:hAnsi="Calibri" w:cs="Calibri"/>
                <w:sz w:val="22"/>
                <w:szCs w:val="22"/>
                <w:lang w:val="en"/>
              </w:rPr>
              <w:t>(h)</w:t>
            </w:r>
            <w:r>
              <w:rPr>
                <w:rFonts w:ascii="Calibri" w:hAnsi="Calibri" w:cs="Calibri"/>
                <w:sz w:val="22"/>
                <w:szCs w:val="22"/>
                <w:lang w:val="en"/>
              </w:rPr>
              <w:t> </w:t>
            </w:r>
            <w:proofErr w:type="gramStart"/>
            <w:r>
              <w:rPr>
                <w:rFonts w:ascii="Calibri" w:hAnsi="Calibri" w:cs="Calibri"/>
                <w:sz w:val="22"/>
                <w:szCs w:val="22"/>
                <w:lang w:val="en"/>
              </w:rPr>
              <w:t>an</w:t>
            </w:r>
            <w:proofErr w:type="gramEnd"/>
            <w:r>
              <w:rPr>
                <w:rFonts w:ascii="Calibri" w:hAnsi="Calibri" w:cs="Calibri"/>
                <w:sz w:val="22"/>
                <w:szCs w:val="22"/>
                <w:lang w:val="en"/>
              </w:rPr>
              <w:t xml:space="preserve"> assessment of the likelihood of harm to people and property resulting from the use of the fireworks.</w:t>
            </w:r>
          </w:p>
          <w:p w:rsidR="009C2C6A" w:rsidRDefault="009C2C6A">
            <w:pPr>
              <w:rPr>
                <w:rStyle w:val="sectionlabel"/>
                <w:b w:val="0"/>
                <w:bCs w:val="0"/>
                <w:color w:val="auto"/>
              </w:rPr>
            </w:pPr>
            <w:hyperlink r:id="rId7" w:anchor="h-162" w:history="1">
              <w:r>
                <w:rPr>
                  <w:rStyle w:val="Hyperlink"/>
                  <w:lang w:val="en"/>
                </w:rPr>
                <w:t>https://laws-lois.justice.gc.ca/eng/regulations/SOR-2013-211/page-50.html#h-162</w:t>
              </w:r>
            </w:hyperlink>
          </w:p>
          <w:p w:rsidR="009C2C6A" w:rsidRDefault="009C2C6A"/>
        </w:tc>
      </w:tr>
    </w:tbl>
    <w:p w:rsidR="009C2C6A" w:rsidRDefault="009C2C6A" w:rsidP="009C2C6A">
      <w:pPr>
        <w:rPr>
          <w:lang w:val="en"/>
        </w:rPr>
      </w:pPr>
    </w:p>
    <w:p w:rsidR="009C2C6A" w:rsidRDefault="009C2C6A" w:rsidP="009C2C6A">
      <w:pPr>
        <w:pStyle w:val="ListParagraph"/>
        <w:ind w:left="360" w:hanging="360"/>
        <w:rPr>
          <w:rFonts w:ascii="Calibri" w:hAnsi="Calibri" w:cs="Calibri"/>
          <w:sz w:val="22"/>
          <w:szCs w:val="22"/>
          <w:lang w:val="en-US"/>
        </w:rPr>
      </w:pPr>
      <w:r>
        <w:rPr>
          <w:rFonts w:ascii="Calibri" w:hAnsi="Calibri" w:cs="Calibri"/>
          <w:b/>
          <w:bCs/>
          <w:sz w:val="22"/>
          <w:szCs w:val="22"/>
          <w:lang w:val="en-US"/>
        </w:rPr>
        <w:t>3.</w:t>
      </w:r>
      <w:r>
        <w:rPr>
          <w:rFonts w:ascii="Times New Roman" w:hAnsi="Times New Roman"/>
          <w:b/>
          <w:bCs/>
          <w:sz w:val="14"/>
          <w:szCs w:val="14"/>
          <w:lang w:val="en-US"/>
        </w:rPr>
        <w:t xml:space="preserve">       </w:t>
      </w:r>
      <w:r>
        <w:rPr>
          <w:rFonts w:ascii="Calibri" w:hAnsi="Calibri" w:cs="Calibri"/>
          <w:sz w:val="22"/>
          <w:szCs w:val="22"/>
          <w:lang w:val="en-US"/>
        </w:rPr>
        <w:t xml:space="preserve">A new requirement was added to the responsibilities of the display supervisor in charge. They must ensure that anyone who is handling fireworks in the danger zone or fallout zone is certified by Natural Resources Canada. </w:t>
      </w:r>
    </w:p>
    <w:p w:rsidR="009C2C6A" w:rsidRDefault="009C2C6A" w:rsidP="009C2C6A">
      <w:pPr>
        <w:pStyle w:val="ListParagraph"/>
        <w:ind w:left="360"/>
        <w:rPr>
          <w:rFonts w:ascii="Calibri" w:hAnsi="Calibri" w:cs="Calibri"/>
          <w:sz w:val="22"/>
          <w:szCs w:val="22"/>
          <w:lang w:val="en-US"/>
        </w:rPr>
      </w:pPr>
    </w:p>
    <w:tbl>
      <w:tblPr>
        <w:tblW w:w="0" w:type="auto"/>
        <w:tblInd w:w="-5" w:type="dxa"/>
        <w:tblCellMar>
          <w:left w:w="0" w:type="dxa"/>
          <w:right w:w="0" w:type="dxa"/>
        </w:tblCellMar>
        <w:tblLook w:val="04A0" w:firstRow="1" w:lastRow="0" w:firstColumn="1" w:lastColumn="0" w:noHBand="0" w:noVBand="1"/>
      </w:tblPr>
      <w:tblGrid>
        <w:gridCol w:w="9355"/>
      </w:tblGrid>
      <w:tr w:rsidR="009C2C6A" w:rsidTr="009C2C6A">
        <w:tc>
          <w:tcPr>
            <w:tcW w:w="9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2C6A" w:rsidRDefault="009C2C6A">
            <w:pPr>
              <w:spacing w:before="288" w:after="168"/>
              <w:rPr>
                <w:i/>
                <w:iCs/>
                <w:lang w:val="en"/>
              </w:rPr>
            </w:pPr>
            <w:r>
              <w:rPr>
                <w:i/>
                <w:iCs/>
                <w:lang w:val="en"/>
              </w:rPr>
              <w:t>Handling</w:t>
            </w:r>
          </w:p>
          <w:p w:rsidR="009C2C6A" w:rsidRDefault="009C2C6A">
            <w:pPr>
              <w:spacing w:before="168" w:after="120"/>
              <w:rPr>
                <w:lang w:val="en"/>
              </w:rPr>
            </w:pPr>
            <w:r>
              <w:rPr>
                <w:b/>
                <w:bCs/>
                <w:color w:val="000000"/>
                <w:highlight w:val="yellow"/>
                <w:lang w:val="en"/>
              </w:rPr>
              <w:t>434 (5)</w:t>
            </w:r>
            <w:r>
              <w:rPr>
                <w:highlight w:val="yellow"/>
                <w:lang w:val="en"/>
              </w:rPr>
              <w:t> Only a person who holds a fireworks operator certificate (display assistant), fireworks operator certificate (display supervisor), fireworks operator certificate (display supervisor with endorsement) or fireworks operator certificate (display visitor) and is authorized by the display supervisor in charge may handle fireworks in the danger zone or fallout zone.</w:t>
            </w:r>
          </w:p>
          <w:p w:rsidR="009C2C6A" w:rsidRDefault="009C2C6A">
            <w:hyperlink r:id="rId8" w:anchor="docCont" w:history="1">
              <w:r>
                <w:rPr>
                  <w:rStyle w:val="Hyperlink"/>
                </w:rPr>
                <w:t>https://laws-lois.justice.gc.ca/eng/regulations/SOR-2013-211/page-50.html#docCont</w:t>
              </w:r>
            </w:hyperlink>
          </w:p>
          <w:p w:rsidR="009C2C6A" w:rsidRDefault="009C2C6A"/>
        </w:tc>
      </w:tr>
    </w:tbl>
    <w:p w:rsidR="009C2C6A" w:rsidRDefault="009C2C6A" w:rsidP="009C2C6A"/>
    <w:p w:rsidR="009C2C6A" w:rsidRDefault="009C2C6A" w:rsidP="009C2C6A"/>
    <w:p w:rsidR="009C2C6A" w:rsidRDefault="009C2C6A" w:rsidP="009C2C6A">
      <w:r>
        <w:t> </w:t>
      </w:r>
    </w:p>
    <w:p w:rsidR="009C2C6A" w:rsidRDefault="009C2C6A" w:rsidP="009C2C6A">
      <w:r>
        <w:lastRenderedPageBreak/>
        <w:t>If there are any questions regarding these changes please don’t hesitate to contact me!</w:t>
      </w:r>
    </w:p>
    <w:p w:rsidR="009C2C6A" w:rsidRDefault="009C2C6A" w:rsidP="009C2C6A">
      <w:r>
        <w:t> </w:t>
      </w:r>
    </w:p>
    <w:p w:rsidR="009C2C6A" w:rsidRDefault="009C2C6A" w:rsidP="009C2C6A">
      <w:r>
        <w:t>Regards,</w:t>
      </w:r>
    </w:p>
    <w:p w:rsidR="009C2C6A" w:rsidRDefault="009C2C6A" w:rsidP="009C2C6A">
      <w:r>
        <w:t>Rachel</w:t>
      </w:r>
    </w:p>
    <w:p w:rsidR="009C2C6A" w:rsidRDefault="009C2C6A" w:rsidP="009C2C6A">
      <w:r>
        <w:t> </w:t>
      </w:r>
    </w:p>
    <w:p w:rsidR="009C2C6A" w:rsidRDefault="009C2C6A" w:rsidP="009C2C6A">
      <w:r>
        <w:t> </w:t>
      </w:r>
    </w:p>
    <w:p w:rsidR="009C2C6A" w:rsidRDefault="009C2C6A" w:rsidP="009C2C6A">
      <w:r>
        <w:rPr>
          <w:sz w:val="20"/>
          <w:szCs w:val="20"/>
        </w:rPr>
        <w:t>Rachel Robbins</w:t>
      </w:r>
    </w:p>
    <w:p w:rsidR="009C2C6A" w:rsidRDefault="009C2C6A" w:rsidP="009C2C6A">
      <w:r>
        <w:rPr>
          <w:sz w:val="20"/>
          <w:szCs w:val="20"/>
        </w:rPr>
        <w:t> </w:t>
      </w:r>
    </w:p>
    <w:p w:rsidR="009C2C6A" w:rsidRDefault="009C2C6A" w:rsidP="009C2C6A">
      <w:r>
        <w:rPr>
          <w:sz w:val="20"/>
          <w:szCs w:val="20"/>
        </w:rPr>
        <w:t>Senior Inspector, Pyrotechnics/Fireworks, Explosives Safety and Security Branch</w:t>
      </w:r>
    </w:p>
    <w:p w:rsidR="009C2C6A" w:rsidRDefault="009C2C6A" w:rsidP="009C2C6A">
      <w:r>
        <w:rPr>
          <w:sz w:val="20"/>
          <w:szCs w:val="20"/>
        </w:rPr>
        <w:t>Natural Resources Canada / Government of Canada</w:t>
      </w:r>
    </w:p>
    <w:p w:rsidR="009C2C6A" w:rsidRDefault="009C2C6A" w:rsidP="009C2C6A">
      <w:hyperlink r:id="rId9" w:history="1">
        <w:r>
          <w:rPr>
            <w:rStyle w:val="Hyperlink"/>
            <w:color w:val="0000FF"/>
            <w:sz w:val="20"/>
            <w:szCs w:val="20"/>
          </w:rPr>
          <w:t>rachel.robbins@canada.ca</w:t>
        </w:r>
      </w:hyperlink>
      <w:r>
        <w:rPr>
          <w:sz w:val="20"/>
          <w:szCs w:val="20"/>
          <w:lang w:val="fr-CA"/>
        </w:rPr>
        <w:t xml:space="preserve"> </w:t>
      </w:r>
      <w:r>
        <w:rPr>
          <w:sz w:val="20"/>
          <w:szCs w:val="20"/>
        </w:rPr>
        <w:t> / Tel: 343-292-8741 / Fax: 613-948-5195</w:t>
      </w:r>
    </w:p>
    <w:p w:rsidR="009C2C6A" w:rsidRDefault="009C2C6A" w:rsidP="009C2C6A">
      <w:r>
        <w:rPr>
          <w:sz w:val="20"/>
          <w:szCs w:val="20"/>
        </w:rPr>
        <w:t> </w:t>
      </w:r>
    </w:p>
    <w:p w:rsidR="009C2C6A" w:rsidRDefault="009C2C6A" w:rsidP="009C2C6A">
      <w:r>
        <w:rPr>
          <w:sz w:val="20"/>
          <w:szCs w:val="20"/>
          <w:lang w:val="fr-CA"/>
        </w:rPr>
        <w:t>Inspectrice principale, feux d’artifice et objets pyrotechniques, l</w:t>
      </w:r>
      <w:r>
        <w:rPr>
          <w:color w:val="000000"/>
          <w:sz w:val="20"/>
          <w:szCs w:val="20"/>
          <w:shd w:val="clear" w:color="auto" w:fill="FFFFFF"/>
          <w:lang w:val="fr-CA"/>
        </w:rPr>
        <w:t>a direction de la sécurité et de la sûreté des explosifs</w:t>
      </w:r>
    </w:p>
    <w:p w:rsidR="009C2C6A" w:rsidRDefault="009C2C6A" w:rsidP="009C2C6A">
      <w:r>
        <w:rPr>
          <w:sz w:val="20"/>
          <w:szCs w:val="20"/>
          <w:lang w:val="fr-CA"/>
        </w:rPr>
        <w:t xml:space="preserve">Ressources naturelles Canada / </w:t>
      </w:r>
      <w:r>
        <w:rPr>
          <w:sz w:val="20"/>
          <w:szCs w:val="20"/>
          <w:lang w:val="fr-FR"/>
        </w:rPr>
        <w:t>Gouvernement du Canada</w:t>
      </w:r>
    </w:p>
    <w:p w:rsidR="009C2C6A" w:rsidRDefault="009C2C6A" w:rsidP="009C2C6A">
      <w:hyperlink r:id="rId10" w:history="1">
        <w:r>
          <w:rPr>
            <w:rStyle w:val="Hyperlink"/>
            <w:color w:val="0000FF"/>
            <w:sz w:val="20"/>
            <w:szCs w:val="20"/>
            <w:lang w:val="fr-CA"/>
          </w:rPr>
          <w:t>rachel.robbins@canada.ca</w:t>
        </w:r>
      </w:hyperlink>
      <w:r>
        <w:rPr>
          <w:sz w:val="20"/>
          <w:szCs w:val="20"/>
          <w:lang w:val="fr-CA"/>
        </w:rPr>
        <w:t xml:space="preserve"> / Tél.: 343-292-8741 / </w:t>
      </w:r>
      <w:proofErr w:type="spellStart"/>
      <w:r>
        <w:rPr>
          <w:sz w:val="20"/>
          <w:szCs w:val="20"/>
          <w:lang w:val="fr-CA"/>
        </w:rPr>
        <w:t>Télec</w:t>
      </w:r>
      <w:proofErr w:type="spellEnd"/>
      <w:r>
        <w:rPr>
          <w:sz w:val="20"/>
          <w:szCs w:val="20"/>
          <w:lang w:val="fr-CA"/>
        </w:rPr>
        <w:t>. :</w:t>
      </w:r>
      <w:r>
        <w:rPr>
          <w:color w:val="333333"/>
          <w:sz w:val="20"/>
          <w:szCs w:val="20"/>
          <w:shd w:val="clear" w:color="auto" w:fill="FFFFFF"/>
          <w:lang w:val="fr-CA"/>
        </w:rPr>
        <w:t xml:space="preserve"> </w:t>
      </w:r>
      <w:r>
        <w:rPr>
          <w:sz w:val="20"/>
          <w:szCs w:val="20"/>
          <w:lang w:val="fr-CA"/>
        </w:rPr>
        <w:t>613-948-5195</w:t>
      </w:r>
    </w:p>
    <w:p w:rsidR="00D955F9" w:rsidRDefault="009C2C6A"/>
    <w:sectPr w:rsidR="00D9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6A"/>
    <w:rsid w:val="001C299F"/>
    <w:rsid w:val="00370DD3"/>
    <w:rsid w:val="004E7F2E"/>
    <w:rsid w:val="009C2C6A"/>
    <w:rsid w:val="00A5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6A"/>
    <w:pPr>
      <w:spacing w:after="0" w:line="240" w:lineRule="auto"/>
    </w:pPr>
    <w:rPr>
      <w:rFonts w:ascii="Calibri" w:hAnsi="Calibri" w:cs="Calibri"/>
      <w:lang w:val="en-CA" w:eastAsia="en-CA"/>
    </w:rPr>
  </w:style>
  <w:style w:type="paragraph" w:styleId="Heading1">
    <w:name w:val="heading 1"/>
    <w:basedOn w:val="Normal"/>
    <w:next w:val="Normal"/>
    <w:link w:val="Heading1Char"/>
    <w:uiPriority w:val="9"/>
    <w:qFormat/>
    <w:rsid w:val="00A564CF"/>
    <w:pPr>
      <w:keepNext/>
      <w:keepLines/>
      <w:spacing w:before="480" w:line="276" w:lineRule="auto"/>
      <w:outlineLvl w:val="0"/>
    </w:pPr>
    <w:rPr>
      <w:rFonts w:ascii="Arial" w:eastAsiaTheme="majorEastAsia" w:hAnsi="Arial" w:cstheme="majorBidi"/>
      <w:b/>
      <w:bCs/>
      <w:sz w:val="32"/>
      <w:szCs w:val="28"/>
      <w:lang w:val="en-US" w:eastAsia="en-US"/>
    </w:rPr>
  </w:style>
  <w:style w:type="paragraph" w:styleId="Heading2">
    <w:name w:val="heading 2"/>
    <w:basedOn w:val="Normal"/>
    <w:next w:val="Normal"/>
    <w:link w:val="Heading2Char"/>
    <w:uiPriority w:val="9"/>
    <w:unhideWhenUsed/>
    <w:qFormat/>
    <w:rsid w:val="00A564CF"/>
    <w:pPr>
      <w:keepNext/>
      <w:keepLines/>
      <w:spacing w:before="200" w:line="276" w:lineRule="auto"/>
      <w:outlineLvl w:val="1"/>
    </w:pPr>
    <w:rPr>
      <w:rFonts w:ascii="Arial" w:eastAsiaTheme="majorEastAsia" w:hAnsi="Arial" w:cstheme="majorBidi"/>
      <w:b/>
      <w:bCs/>
      <w:sz w:val="28"/>
      <w:szCs w:val="26"/>
      <w:lang w:val="en-US" w:eastAsia="en-US"/>
    </w:rPr>
  </w:style>
  <w:style w:type="paragraph" w:styleId="Heading3">
    <w:name w:val="heading 3"/>
    <w:basedOn w:val="Normal"/>
    <w:next w:val="Normal"/>
    <w:link w:val="Heading3Char"/>
    <w:uiPriority w:val="9"/>
    <w:unhideWhenUsed/>
    <w:qFormat/>
    <w:rsid w:val="00A564CF"/>
    <w:pPr>
      <w:keepNext/>
      <w:keepLines/>
      <w:spacing w:before="200" w:line="276" w:lineRule="auto"/>
      <w:outlineLvl w:val="2"/>
    </w:pPr>
    <w:rPr>
      <w:rFonts w:ascii="Arial" w:eastAsiaTheme="majorEastAsia" w:hAnsi="Arial" w:cstheme="majorBidi"/>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4CF"/>
    <w:pPr>
      <w:spacing w:after="0" w:line="240" w:lineRule="auto"/>
    </w:pPr>
    <w:rPr>
      <w:rFonts w:ascii="Arial" w:hAnsi="Arial"/>
      <w:sz w:val="24"/>
    </w:rPr>
  </w:style>
  <w:style w:type="character" w:customStyle="1" w:styleId="Heading1Char">
    <w:name w:val="Heading 1 Char"/>
    <w:basedOn w:val="DefaultParagraphFont"/>
    <w:link w:val="Heading1"/>
    <w:uiPriority w:val="9"/>
    <w:rsid w:val="00A564CF"/>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564C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A564CF"/>
    <w:rPr>
      <w:rFonts w:ascii="Arial" w:eastAsiaTheme="majorEastAsia" w:hAnsi="Arial" w:cstheme="majorBidi"/>
      <w:b/>
      <w:bCs/>
      <w:sz w:val="24"/>
    </w:rPr>
  </w:style>
  <w:style w:type="paragraph" w:styleId="Title">
    <w:name w:val="Title"/>
    <w:basedOn w:val="Normal"/>
    <w:next w:val="Normal"/>
    <w:link w:val="TitleChar"/>
    <w:uiPriority w:val="10"/>
    <w:qFormat/>
    <w:rsid w:val="00370DD3"/>
    <w:pPr>
      <w:spacing w:after="300"/>
      <w:contextualSpacing/>
    </w:pPr>
    <w:rPr>
      <w:rFonts w:ascii="Arial" w:eastAsiaTheme="majorEastAsia" w:hAnsi="Arial" w:cstheme="majorBidi"/>
      <w:b/>
      <w:color w:val="17365D" w:themeColor="text2" w:themeShade="BF"/>
      <w:spacing w:val="5"/>
      <w:kern w:val="28"/>
      <w:sz w:val="32"/>
      <w:szCs w:val="52"/>
      <w:lang w:val="en-US" w:eastAsia="en-US"/>
    </w:rPr>
  </w:style>
  <w:style w:type="character" w:customStyle="1" w:styleId="TitleChar">
    <w:name w:val="Title Char"/>
    <w:basedOn w:val="DefaultParagraphFont"/>
    <w:link w:val="Title"/>
    <w:uiPriority w:val="10"/>
    <w:rsid w:val="00370DD3"/>
    <w:rPr>
      <w:rFonts w:ascii="Arial" w:eastAsiaTheme="majorEastAsia" w:hAnsi="Arial" w:cstheme="majorBidi"/>
      <w:b/>
      <w:color w:val="17365D" w:themeColor="text2" w:themeShade="BF"/>
      <w:spacing w:val="5"/>
      <w:kern w:val="28"/>
      <w:sz w:val="32"/>
      <w:szCs w:val="52"/>
    </w:rPr>
  </w:style>
  <w:style w:type="character" w:styleId="Hyperlink">
    <w:name w:val="Hyperlink"/>
    <w:basedOn w:val="DefaultParagraphFont"/>
    <w:uiPriority w:val="99"/>
    <w:semiHidden/>
    <w:unhideWhenUsed/>
    <w:rsid w:val="009C2C6A"/>
    <w:rPr>
      <w:color w:val="0563C1"/>
      <w:u w:val="single"/>
    </w:rPr>
  </w:style>
  <w:style w:type="paragraph" w:customStyle="1" w:styleId="marginalnote">
    <w:name w:val="marginalnote"/>
    <w:basedOn w:val="Normal"/>
    <w:rsid w:val="009C2C6A"/>
    <w:pPr>
      <w:spacing w:before="288" w:after="168"/>
    </w:pPr>
    <w:rPr>
      <w:rFonts w:ascii="Times New Roman" w:hAnsi="Times New Roman" w:cs="Times New Roman"/>
      <w:b/>
      <w:bCs/>
    </w:rPr>
  </w:style>
  <w:style w:type="paragraph" w:customStyle="1" w:styleId="subsection">
    <w:name w:val="subsection"/>
    <w:basedOn w:val="Normal"/>
    <w:rsid w:val="009C2C6A"/>
    <w:pPr>
      <w:spacing w:before="168" w:after="120"/>
    </w:pPr>
    <w:rPr>
      <w:rFonts w:ascii="Times New Roman" w:hAnsi="Times New Roman" w:cs="Times New Roman"/>
      <w:sz w:val="24"/>
      <w:szCs w:val="24"/>
    </w:rPr>
  </w:style>
  <w:style w:type="character" w:customStyle="1" w:styleId="sectionlabel">
    <w:name w:val="sectionlabel"/>
    <w:basedOn w:val="DefaultParagraphFont"/>
    <w:rsid w:val="009C2C6A"/>
    <w:rPr>
      <w:b/>
      <w:bCs/>
      <w:color w:val="000000"/>
    </w:rPr>
  </w:style>
  <w:style w:type="character" w:customStyle="1" w:styleId="lawlabel2">
    <w:name w:val="lawlabel2"/>
    <w:basedOn w:val="DefaultParagraphFont"/>
    <w:rsid w:val="009C2C6A"/>
    <w:rPr>
      <w:b/>
      <w:bCs/>
      <w:color w:val="000000"/>
    </w:rPr>
  </w:style>
  <w:style w:type="character" w:customStyle="1" w:styleId="repealed1">
    <w:name w:val="repealed1"/>
    <w:basedOn w:val="DefaultParagraphFont"/>
    <w:rsid w:val="009C2C6A"/>
    <w:rPr>
      <w:color w:val="660000"/>
    </w:rPr>
  </w:style>
  <w:style w:type="paragraph" w:styleId="ListParagraph">
    <w:name w:val="List Paragraph"/>
    <w:basedOn w:val="Normal"/>
    <w:uiPriority w:val="34"/>
    <w:qFormat/>
    <w:rsid w:val="009C2C6A"/>
    <w:pPr>
      <w:autoSpaceDE w:val="0"/>
      <w:autoSpaceDN w:val="0"/>
      <w:ind w:left="720"/>
      <w:contextualSpacing/>
    </w:pPr>
    <w:rPr>
      <w:rFonts w:ascii="Courier" w:hAnsi="Courier" w:cs="Times New Roman"/>
      <w:sz w:val="24"/>
      <w:szCs w:val="24"/>
    </w:rPr>
  </w:style>
  <w:style w:type="paragraph" w:customStyle="1" w:styleId="section">
    <w:name w:val="section"/>
    <w:basedOn w:val="Normal"/>
    <w:rsid w:val="009C2C6A"/>
    <w:pPr>
      <w:spacing w:before="168" w:after="120"/>
    </w:pPr>
    <w:rPr>
      <w:rFonts w:ascii="Times New Roman" w:hAnsi="Times New Roman" w:cs="Times New Roman"/>
      <w:sz w:val="24"/>
      <w:szCs w:val="24"/>
    </w:rPr>
  </w:style>
  <w:style w:type="paragraph" w:customStyle="1" w:styleId="paragraph">
    <w:name w:val="paragraph"/>
    <w:basedOn w:val="Normal"/>
    <w:rsid w:val="009C2C6A"/>
    <w:pPr>
      <w:spacing w:before="168" w:after="120"/>
      <w:ind w:lef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6A"/>
    <w:pPr>
      <w:spacing w:after="0" w:line="240" w:lineRule="auto"/>
    </w:pPr>
    <w:rPr>
      <w:rFonts w:ascii="Calibri" w:hAnsi="Calibri" w:cs="Calibri"/>
      <w:lang w:val="en-CA" w:eastAsia="en-CA"/>
    </w:rPr>
  </w:style>
  <w:style w:type="paragraph" w:styleId="Heading1">
    <w:name w:val="heading 1"/>
    <w:basedOn w:val="Normal"/>
    <w:next w:val="Normal"/>
    <w:link w:val="Heading1Char"/>
    <w:uiPriority w:val="9"/>
    <w:qFormat/>
    <w:rsid w:val="00A564CF"/>
    <w:pPr>
      <w:keepNext/>
      <w:keepLines/>
      <w:spacing w:before="480" w:line="276" w:lineRule="auto"/>
      <w:outlineLvl w:val="0"/>
    </w:pPr>
    <w:rPr>
      <w:rFonts w:ascii="Arial" w:eastAsiaTheme="majorEastAsia" w:hAnsi="Arial" w:cstheme="majorBidi"/>
      <w:b/>
      <w:bCs/>
      <w:sz w:val="32"/>
      <w:szCs w:val="28"/>
      <w:lang w:val="en-US" w:eastAsia="en-US"/>
    </w:rPr>
  </w:style>
  <w:style w:type="paragraph" w:styleId="Heading2">
    <w:name w:val="heading 2"/>
    <w:basedOn w:val="Normal"/>
    <w:next w:val="Normal"/>
    <w:link w:val="Heading2Char"/>
    <w:uiPriority w:val="9"/>
    <w:unhideWhenUsed/>
    <w:qFormat/>
    <w:rsid w:val="00A564CF"/>
    <w:pPr>
      <w:keepNext/>
      <w:keepLines/>
      <w:spacing w:before="200" w:line="276" w:lineRule="auto"/>
      <w:outlineLvl w:val="1"/>
    </w:pPr>
    <w:rPr>
      <w:rFonts w:ascii="Arial" w:eastAsiaTheme="majorEastAsia" w:hAnsi="Arial" w:cstheme="majorBidi"/>
      <w:b/>
      <w:bCs/>
      <w:sz w:val="28"/>
      <w:szCs w:val="26"/>
      <w:lang w:val="en-US" w:eastAsia="en-US"/>
    </w:rPr>
  </w:style>
  <w:style w:type="paragraph" w:styleId="Heading3">
    <w:name w:val="heading 3"/>
    <w:basedOn w:val="Normal"/>
    <w:next w:val="Normal"/>
    <w:link w:val="Heading3Char"/>
    <w:uiPriority w:val="9"/>
    <w:unhideWhenUsed/>
    <w:qFormat/>
    <w:rsid w:val="00A564CF"/>
    <w:pPr>
      <w:keepNext/>
      <w:keepLines/>
      <w:spacing w:before="200" w:line="276" w:lineRule="auto"/>
      <w:outlineLvl w:val="2"/>
    </w:pPr>
    <w:rPr>
      <w:rFonts w:ascii="Arial" w:eastAsiaTheme="majorEastAsia" w:hAnsi="Arial" w:cstheme="majorBidi"/>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4CF"/>
    <w:pPr>
      <w:spacing w:after="0" w:line="240" w:lineRule="auto"/>
    </w:pPr>
    <w:rPr>
      <w:rFonts w:ascii="Arial" w:hAnsi="Arial"/>
      <w:sz w:val="24"/>
    </w:rPr>
  </w:style>
  <w:style w:type="character" w:customStyle="1" w:styleId="Heading1Char">
    <w:name w:val="Heading 1 Char"/>
    <w:basedOn w:val="DefaultParagraphFont"/>
    <w:link w:val="Heading1"/>
    <w:uiPriority w:val="9"/>
    <w:rsid w:val="00A564CF"/>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564C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A564CF"/>
    <w:rPr>
      <w:rFonts w:ascii="Arial" w:eastAsiaTheme="majorEastAsia" w:hAnsi="Arial" w:cstheme="majorBidi"/>
      <w:b/>
      <w:bCs/>
      <w:sz w:val="24"/>
    </w:rPr>
  </w:style>
  <w:style w:type="paragraph" w:styleId="Title">
    <w:name w:val="Title"/>
    <w:basedOn w:val="Normal"/>
    <w:next w:val="Normal"/>
    <w:link w:val="TitleChar"/>
    <w:uiPriority w:val="10"/>
    <w:qFormat/>
    <w:rsid w:val="00370DD3"/>
    <w:pPr>
      <w:spacing w:after="300"/>
      <w:contextualSpacing/>
    </w:pPr>
    <w:rPr>
      <w:rFonts w:ascii="Arial" w:eastAsiaTheme="majorEastAsia" w:hAnsi="Arial" w:cstheme="majorBidi"/>
      <w:b/>
      <w:color w:val="17365D" w:themeColor="text2" w:themeShade="BF"/>
      <w:spacing w:val="5"/>
      <w:kern w:val="28"/>
      <w:sz w:val="32"/>
      <w:szCs w:val="52"/>
      <w:lang w:val="en-US" w:eastAsia="en-US"/>
    </w:rPr>
  </w:style>
  <w:style w:type="character" w:customStyle="1" w:styleId="TitleChar">
    <w:name w:val="Title Char"/>
    <w:basedOn w:val="DefaultParagraphFont"/>
    <w:link w:val="Title"/>
    <w:uiPriority w:val="10"/>
    <w:rsid w:val="00370DD3"/>
    <w:rPr>
      <w:rFonts w:ascii="Arial" w:eastAsiaTheme="majorEastAsia" w:hAnsi="Arial" w:cstheme="majorBidi"/>
      <w:b/>
      <w:color w:val="17365D" w:themeColor="text2" w:themeShade="BF"/>
      <w:spacing w:val="5"/>
      <w:kern w:val="28"/>
      <w:sz w:val="32"/>
      <w:szCs w:val="52"/>
    </w:rPr>
  </w:style>
  <w:style w:type="character" w:styleId="Hyperlink">
    <w:name w:val="Hyperlink"/>
    <w:basedOn w:val="DefaultParagraphFont"/>
    <w:uiPriority w:val="99"/>
    <w:semiHidden/>
    <w:unhideWhenUsed/>
    <w:rsid w:val="009C2C6A"/>
    <w:rPr>
      <w:color w:val="0563C1"/>
      <w:u w:val="single"/>
    </w:rPr>
  </w:style>
  <w:style w:type="paragraph" w:customStyle="1" w:styleId="marginalnote">
    <w:name w:val="marginalnote"/>
    <w:basedOn w:val="Normal"/>
    <w:rsid w:val="009C2C6A"/>
    <w:pPr>
      <w:spacing w:before="288" w:after="168"/>
    </w:pPr>
    <w:rPr>
      <w:rFonts w:ascii="Times New Roman" w:hAnsi="Times New Roman" w:cs="Times New Roman"/>
      <w:b/>
      <w:bCs/>
    </w:rPr>
  </w:style>
  <w:style w:type="paragraph" w:customStyle="1" w:styleId="subsection">
    <w:name w:val="subsection"/>
    <w:basedOn w:val="Normal"/>
    <w:rsid w:val="009C2C6A"/>
    <w:pPr>
      <w:spacing w:before="168" w:after="120"/>
    </w:pPr>
    <w:rPr>
      <w:rFonts w:ascii="Times New Roman" w:hAnsi="Times New Roman" w:cs="Times New Roman"/>
      <w:sz w:val="24"/>
      <w:szCs w:val="24"/>
    </w:rPr>
  </w:style>
  <w:style w:type="character" w:customStyle="1" w:styleId="sectionlabel">
    <w:name w:val="sectionlabel"/>
    <w:basedOn w:val="DefaultParagraphFont"/>
    <w:rsid w:val="009C2C6A"/>
    <w:rPr>
      <w:b/>
      <w:bCs/>
      <w:color w:val="000000"/>
    </w:rPr>
  </w:style>
  <w:style w:type="character" w:customStyle="1" w:styleId="lawlabel2">
    <w:name w:val="lawlabel2"/>
    <w:basedOn w:val="DefaultParagraphFont"/>
    <w:rsid w:val="009C2C6A"/>
    <w:rPr>
      <w:b/>
      <w:bCs/>
      <w:color w:val="000000"/>
    </w:rPr>
  </w:style>
  <w:style w:type="character" w:customStyle="1" w:styleId="repealed1">
    <w:name w:val="repealed1"/>
    <w:basedOn w:val="DefaultParagraphFont"/>
    <w:rsid w:val="009C2C6A"/>
    <w:rPr>
      <w:color w:val="660000"/>
    </w:rPr>
  </w:style>
  <w:style w:type="paragraph" w:styleId="ListParagraph">
    <w:name w:val="List Paragraph"/>
    <w:basedOn w:val="Normal"/>
    <w:uiPriority w:val="34"/>
    <w:qFormat/>
    <w:rsid w:val="009C2C6A"/>
    <w:pPr>
      <w:autoSpaceDE w:val="0"/>
      <w:autoSpaceDN w:val="0"/>
      <w:ind w:left="720"/>
      <w:contextualSpacing/>
    </w:pPr>
    <w:rPr>
      <w:rFonts w:ascii="Courier" w:hAnsi="Courier" w:cs="Times New Roman"/>
      <w:sz w:val="24"/>
      <w:szCs w:val="24"/>
    </w:rPr>
  </w:style>
  <w:style w:type="paragraph" w:customStyle="1" w:styleId="section">
    <w:name w:val="section"/>
    <w:basedOn w:val="Normal"/>
    <w:rsid w:val="009C2C6A"/>
    <w:pPr>
      <w:spacing w:before="168" w:after="120"/>
    </w:pPr>
    <w:rPr>
      <w:rFonts w:ascii="Times New Roman" w:hAnsi="Times New Roman" w:cs="Times New Roman"/>
      <w:sz w:val="24"/>
      <w:szCs w:val="24"/>
    </w:rPr>
  </w:style>
  <w:style w:type="paragraph" w:customStyle="1" w:styleId="paragraph">
    <w:name w:val="paragraph"/>
    <w:basedOn w:val="Normal"/>
    <w:rsid w:val="009C2C6A"/>
    <w:pPr>
      <w:spacing w:before="168" w:after="120"/>
      <w:ind w:left="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5491">
      <w:bodyDiv w:val="1"/>
      <w:marLeft w:val="0"/>
      <w:marRight w:val="0"/>
      <w:marTop w:val="0"/>
      <w:marBottom w:val="0"/>
      <w:divBdr>
        <w:top w:val="none" w:sz="0" w:space="0" w:color="auto"/>
        <w:left w:val="none" w:sz="0" w:space="0" w:color="auto"/>
        <w:bottom w:val="none" w:sz="0" w:space="0" w:color="auto"/>
        <w:right w:val="none" w:sz="0" w:space="0" w:color="auto"/>
      </w:divBdr>
    </w:div>
    <w:div w:id="13847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regulations/SOR-2013-211/page-50.html" TargetMode="External"/><Relationship Id="rId3" Type="http://schemas.openxmlformats.org/officeDocument/2006/relationships/settings" Target="settings.xml"/><Relationship Id="rId7" Type="http://schemas.openxmlformats.org/officeDocument/2006/relationships/hyperlink" Target="https://laws-lois.justice.gc.ca/eng/regulations/SOR-2013-211/page-50.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ws-lois.justice.gc.ca/eng/regulations/SOR-2013-211/page-50.html" TargetMode="External"/><Relationship Id="rId11" Type="http://schemas.openxmlformats.org/officeDocument/2006/relationships/fontTable" Target="fontTable.xml"/><Relationship Id="rId5" Type="http://schemas.openxmlformats.org/officeDocument/2006/relationships/hyperlink" Target="https://laws-lois.justice.gc.ca/eng/regulations/SOR-2013-211/page-47.html" TargetMode="External"/><Relationship Id="rId10" Type="http://schemas.openxmlformats.org/officeDocument/2006/relationships/hyperlink" Target="mailto:rachel.robbins@canada.ca" TargetMode="External"/><Relationship Id="rId4" Type="http://schemas.openxmlformats.org/officeDocument/2006/relationships/webSettings" Target="webSettings.xml"/><Relationship Id="rId9" Type="http://schemas.openxmlformats.org/officeDocument/2006/relationships/hyperlink" Target="mailto:rachel.robbin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Kingston</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Blakney,Delbert</dc:creator>
  <cp:lastModifiedBy>Blakney,Delbert</cp:lastModifiedBy>
  <cp:revision>1</cp:revision>
  <dcterms:created xsi:type="dcterms:W3CDTF">2019-05-21T20:11:00Z</dcterms:created>
  <dcterms:modified xsi:type="dcterms:W3CDTF">2019-05-21T20:16:00Z</dcterms:modified>
</cp:coreProperties>
</file>